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C01A" w14:textId="330F6069" w:rsidR="00E37FB7" w:rsidRDefault="008B6561" w:rsidP="00E37FB7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5974B" wp14:editId="0E09C8E1">
            <wp:simplePos x="0" y="0"/>
            <wp:positionH relativeFrom="margin">
              <wp:posOffset>5459</wp:posOffset>
            </wp:positionH>
            <wp:positionV relativeFrom="paragraph">
              <wp:posOffset>523</wp:posOffset>
            </wp:positionV>
            <wp:extent cx="552734" cy="530878"/>
            <wp:effectExtent l="0" t="0" r="0" b="254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13" cy="53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FB7">
        <w:rPr>
          <w:sz w:val="32"/>
        </w:rPr>
        <w:t>APPRENTICESHIP TRAINING PROGRAM</w:t>
      </w:r>
    </w:p>
    <w:p w14:paraId="1B3554BA" w14:textId="77777777" w:rsidR="00E37FB7" w:rsidRPr="00E37FB7" w:rsidRDefault="00E37FB7" w:rsidP="00E37FB7">
      <w:pPr>
        <w:pStyle w:val="Title"/>
        <w:rPr>
          <w:sz w:val="22"/>
        </w:rPr>
      </w:pPr>
    </w:p>
    <w:p w14:paraId="68002EA5" w14:textId="77777777" w:rsidR="00221BCB" w:rsidRDefault="001517C8" w:rsidP="00E37FB7">
      <w:pPr>
        <w:pStyle w:val="Title"/>
        <w:rPr>
          <w:sz w:val="32"/>
        </w:rPr>
      </w:pPr>
      <w:r>
        <w:rPr>
          <w:sz w:val="32"/>
        </w:rPr>
        <w:t>APPRENTICESHIP COMMITTEE</w:t>
      </w:r>
    </w:p>
    <w:p w14:paraId="6A0A704B" w14:textId="77777777" w:rsidR="00221BCB" w:rsidRDefault="00221BCB" w:rsidP="00E37FB7">
      <w:pPr>
        <w:jc w:val="center"/>
        <w:rPr>
          <w:b/>
          <w:sz w:val="32"/>
        </w:rPr>
      </w:pPr>
      <w:r>
        <w:rPr>
          <w:b/>
          <w:sz w:val="32"/>
        </w:rPr>
        <w:t>FINANCIAL MANAGEMENT SYSTEM QUESTIONNAIRE</w:t>
      </w:r>
    </w:p>
    <w:p w14:paraId="2D82CCDB" w14:textId="77777777" w:rsidR="00E37FB7" w:rsidRDefault="00E37FB7" w:rsidP="00E37FB7">
      <w:pPr>
        <w:rPr>
          <w:sz w:val="28"/>
        </w:rPr>
      </w:pPr>
    </w:p>
    <w:p w14:paraId="0DF9BEB6" w14:textId="77777777" w:rsidR="00E37FB7" w:rsidRDefault="00E37FB7" w:rsidP="00E37FB7">
      <w:pPr>
        <w:rPr>
          <w:sz w:val="28"/>
        </w:rPr>
      </w:pPr>
    </w:p>
    <w:p w14:paraId="4115F4BB" w14:textId="4A10AA1B" w:rsidR="003864FC" w:rsidRPr="00AC07A9" w:rsidRDefault="00221BCB" w:rsidP="00E37FB7">
      <w:pPr>
        <w:rPr>
          <w:szCs w:val="24"/>
        </w:rPr>
      </w:pPr>
      <w:r w:rsidRPr="00AC07A9">
        <w:rPr>
          <w:szCs w:val="24"/>
        </w:rPr>
        <w:t xml:space="preserve">The </w:t>
      </w:r>
      <w:r w:rsidR="001517C8" w:rsidRPr="00AC07A9">
        <w:rPr>
          <w:szCs w:val="24"/>
        </w:rPr>
        <w:t xml:space="preserve">apprenticeship committee </w:t>
      </w:r>
      <w:r w:rsidRPr="00AC07A9">
        <w:rPr>
          <w:szCs w:val="24"/>
        </w:rPr>
        <w:t xml:space="preserve">identified in the </w:t>
      </w:r>
      <w:r w:rsidR="001517C8" w:rsidRPr="00AC07A9">
        <w:rPr>
          <w:i/>
          <w:iCs/>
          <w:szCs w:val="24"/>
        </w:rPr>
        <w:t>Planning Estimates Form</w:t>
      </w:r>
      <w:r w:rsidR="001517C8" w:rsidRPr="00AC07A9">
        <w:rPr>
          <w:szCs w:val="24"/>
        </w:rPr>
        <w:t xml:space="preserve"> </w:t>
      </w:r>
      <w:r w:rsidRPr="00AC07A9">
        <w:rPr>
          <w:szCs w:val="24"/>
        </w:rPr>
        <w:t xml:space="preserve">must complete </w:t>
      </w:r>
      <w:r w:rsidR="00AC07A9" w:rsidRPr="00AC07A9">
        <w:rPr>
          <w:szCs w:val="24"/>
        </w:rPr>
        <w:t>the</w:t>
      </w:r>
      <w:r w:rsidRPr="00AC07A9">
        <w:rPr>
          <w:szCs w:val="24"/>
        </w:rPr>
        <w:t xml:space="preserve"> </w:t>
      </w:r>
      <w:r w:rsidRPr="00AC07A9">
        <w:rPr>
          <w:i/>
          <w:iCs/>
          <w:szCs w:val="24"/>
        </w:rPr>
        <w:t>Financial Management System Questionnaire</w:t>
      </w:r>
      <w:r w:rsidRPr="00AC07A9">
        <w:rPr>
          <w:szCs w:val="24"/>
        </w:rPr>
        <w:t xml:space="preserve"> and submit i</w:t>
      </w:r>
      <w:r w:rsidR="001517C8" w:rsidRPr="00AC07A9">
        <w:rPr>
          <w:szCs w:val="24"/>
        </w:rPr>
        <w:t xml:space="preserve">t with the </w:t>
      </w:r>
      <w:r w:rsidR="001517C8" w:rsidRPr="00AC07A9">
        <w:rPr>
          <w:i/>
          <w:iCs/>
          <w:szCs w:val="24"/>
        </w:rPr>
        <w:t>Apprenticeship Committee Information Form</w:t>
      </w:r>
      <w:r w:rsidRPr="00AC07A9">
        <w:rPr>
          <w:szCs w:val="24"/>
        </w:rPr>
        <w:t>.</w:t>
      </w:r>
      <w:r w:rsidR="003864FC" w:rsidRPr="00AC07A9">
        <w:rPr>
          <w:szCs w:val="24"/>
        </w:rPr>
        <w:t xml:space="preserve"> </w:t>
      </w:r>
    </w:p>
    <w:p w14:paraId="025A6EA6" w14:textId="77777777" w:rsidR="003864FC" w:rsidRDefault="003864FC">
      <w:pPr>
        <w:rPr>
          <w:sz w:val="28"/>
        </w:rPr>
      </w:pPr>
    </w:p>
    <w:p w14:paraId="37588C2C" w14:textId="0F9F3213" w:rsidR="00221BCB" w:rsidRPr="008B6561" w:rsidRDefault="008B6561" w:rsidP="00AC07A9">
      <w:pPr>
        <w:ind w:left="1170" w:hanging="1170"/>
        <w:rPr>
          <w:bCs/>
          <w:iCs/>
          <w:sz w:val="20"/>
        </w:rPr>
      </w:pPr>
      <w:r w:rsidRPr="008B6561">
        <w:rPr>
          <w:bCs/>
          <w:iCs/>
          <w:sz w:val="20"/>
        </w:rPr>
        <w:t>Special Note</w:t>
      </w:r>
      <w:r w:rsidR="001517C8" w:rsidRPr="008B6561">
        <w:rPr>
          <w:bCs/>
          <w:iCs/>
          <w:sz w:val="20"/>
        </w:rPr>
        <w:t xml:space="preserve">: </w:t>
      </w:r>
      <w:r w:rsidRPr="008B6561">
        <w:rPr>
          <w:bCs/>
          <w:iCs/>
          <w:sz w:val="20"/>
        </w:rPr>
        <w:t xml:space="preserve">Local Education Agencies </w:t>
      </w:r>
      <w:r w:rsidR="00081794" w:rsidRPr="008B6561">
        <w:rPr>
          <w:bCs/>
          <w:iCs/>
          <w:sz w:val="20"/>
        </w:rPr>
        <w:t>are not required</w:t>
      </w:r>
      <w:r w:rsidR="00AC07A9" w:rsidRPr="008B6561">
        <w:rPr>
          <w:bCs/>
          <w:iCs/>
          <w:sz w:val="20"/>
        </w:rPr>
        <w:t xml:space="preserve"> </w:t>
      </w:r>
      <w:r w:rsidR="00E37FB7" w:rsidRPr="008B6561">
        <w:rPr>
          <w:bCs/>
          <w:iCs/>
          <w:sz w:val="20"/>
        </w:rPr>
        <w:t>to</w:t>
      </w:r>
      <w:r w:rsidR="001517C8" w:rsidRPr="008B6561">
        <w:rPr>
          <w:bCs/>
          <w:iCs/>
          <w:sz w:val="20"/>
        </w:rPr>
        <w:t xml:space="preserve"> </w:t>
      </w:r>
      <w:r w:rsidR="00081794" w:rsidRPr="008B6561">
        <w:rPr>
          <w:bCs/>
          <w:iCs/>
          <w:sz w:val="20"/>
        </w:rPr>
        <w:t>submit</w:t>
      </w:r>
      <w:r w:rsidR="003864FC" w:rsidRPr="008B6561">
        <w:rPr>
          <w:bCs/>
          <w:iCs/>
          <w:sz w:val="20"/>
        </w:rPr>
        <w:t xml:space="preserve"> </w:t>
      </w:r>
      <w:r w:rsidR="00097B32" w:rsidRPr="008B6561">
        <w:rPr>
          <w:bCs/>
          <w:iCs/>
          <w:sz w:val="20"/>
        </w:rPr>
        <w:t xml:space="preserve">a </w:t>
      </w:r>
      <w:r w:rsidR="003864FC" w:rsidRPr="008B6561">
        <w:rPr>
          <w:bCs/>
          <w:iCs/>
          <w:sz w:val="20"/>
        </w:rPr>
        <w:t>Financial Management System Questionnaire.</w:t>
      </w:r>
    </w:p>
    <w:p w14:paraId="5B063C4A" w14:textId="6950B733" w:rsidR="00221BCB" w:rsidRDefault="00221BCB" w:rsidP="00CD26A9">
      <w:pPr>
        <w:spacing w:before="900"/>
        <w:rPr>
          <w:sz w:val="28"/>
        </w:rPr>
      </w:pPr>
      <w:r>
        <w:rPr>
          <w:b/>
          <w:sz w:val="28"/>
        </w:rPr>
        <w:t>Name o</w:t>
      </w:r>
      <w:r w:rsidR="001517C8">
        <w:rPr>
          <w:b/>
          <w:sz w:val="28"/>
        </w:rPr>
        <w:t>f Apprenticeship Committee</w:t>
      </w:r>
      <w:r>
        <w:rPr>
          <w:b/>
          <w:sz w:val="28"/>
        </w:rPr>
        <w:t>:</w:t>
      </w:r>
      <w:r>
        <w:rPr>
          <w:sz w:val="28"/>
        </w:rPr>
        <w:t xml:space="preserve">  </w:t>
      </w:r>
      <w:r w:rsidR="00077771">
        <w:rPr>
          <w:sz w:val="28"/>
        </w:rPr>
        <w:fldChar w:fldCharType="begin">
          <w:ffData>
            <w:name w:val="Text1"/>
            <w:enabled/>
            <w:calcOnExit w:val="0"/>
            <w:helpText w:type="text" w:val="Name of Applicant or Training Provider"/>
            <w:statusText w:type="text" w:val="Name of Applicant or Training Provider"/>
            <w:textInput/>
          </w:ffData>
        </w:fldChar>
      </w:r>
      <w:bookmarkStart w:id="0" w:name="Text1"/>
      <w:r w:rsidR="00077771">
        <w:rPr>
          <w:sz w:val="28"/>
        </w:rPr>
        <w:instrText xml:space="preserve"> FORMTEXT </w:instrText>
      </w:r>
      <w:r w:rsidR="00077771">
        <w:rPr>
          <w:sz w:val="28"/>
        </w:rPr>
      </w:r>
      <w:r w:rsidR="00077771">
        <w:rPr>
          <w:sz w:val="28"/>
        </w:rPr>
        <w:fldChar w:fldCharType="separate"/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sz w:val="28"/>
        </w:rPr>
        <w:fldChar w:fldCharType="end"/>
      </w:r>
      <w:bookmarkEnd w:id="0"/>
    </w:p>
    <w:p w14:paraId="1943C797" w14:textId="77777777" w:rsidR="00221BCB" w:rsidRDefault="00221BCB" w:rsidP="00CD26A9">
      <w:pPr>
        <w:pStyle w:val="BodyText2"/>
        <w:spacing w:before="1400" w:after="1200"/>
        <w:rPr>
          <w:sz w:val="28"/>
        </w:rPr>
      </w:pPr>
      <w:r>
        <w:rPr>
          <w:b/>
          <w:sz w:val="28"/>
        </w:rPr>
        <w:t>This form was prepared by:</w:t>
      </w:r>
    </w:p>
    <w:tbl>
      <w:tblPr>
        <w:tblStyle w:val="TableGridLigh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50"/>
        <w:gridCol w:w="4590"/>
      </w:tblGrid>
      <w:tr w:rsidR="00221BCB" w14:paraId="0E49CD3E" w14:textId="77777777" w:rsidTr="00192525">
        <w:tc>
          <w:tcPr>
            <w:tcW w:w="4860" w:type="dxa"/>
            <w:tcBorders>
              <w:top w:val="nil"/>
              <w:bottom w:val="single" w:sz="4" w:space="0" w:color="BFBFBF" w:themeColor="background1" w:themeShade="BF"/>
            </w:tcBorders>
          </w:tcPr>
          <w:p w14:paraId="584CA420" w14:textId="4D854007" w:rsidR="00221BCB" w:rsidRDefault="0057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Title of preparer"/>
                  <w:statusText w:type="text" w:val="Title of preparer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bottom w:val="single" w:sz="4" w:space="0" w:color="BFBFBF" w:themeColor="background1" w:themeShade="BF"/>
            </w:tcBorders>
          </w:tcPr>
          <w:p w14:paraId="0F414947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BFBFBF" w:themeColor="background1" w:themeShade="BF"/>
            </w:tcBorders>
          </w:tcPr>
          <w:p w14:paraId="56A4E09D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Title of preparer"/>
                  <w:statusText w:type="text" w:val="Title of preparer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637123F1" w14:textId="77777777" w:rsidTr="00570F57">
        <w:trPr>
          <w:trHeight w:val="611"/>
        </w:trPr>
        <w:tc>
          <w:tcPr>
            <w:tcW w:w="4860" w:type="dxa"/>
            <w:tcBorders>
              <w:bottom w:val="nil"/>
            </w:tcBorders>
          </w:tcPr>
          <w:p w14:paraId="40536DB5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Signature of Preparer</w:t>
            </w:r>
          </w:p>
        </w:tc>
        <w:tc>
          <w:tcPr>
            <w:tcW w:w="450" w:type="dxa"/>
            <w:tcBorders>
              <w:bottom w:val="nil"/>
            </w:tcBorders>
          </w:tcPr>
          <w:p w14:paraId="5BA49CB5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551CB16E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Title of Preparer</w:t>
            </w:r>
          </w:p>
          <w:p w14:paraId="48CFB575" w14:textId="77777777" w:rsidR="00221BCB" w:rsidRDefault="00221BCB">
            <w:pPr>
              <w:rPr>
                <w:sz w:val="28"/>
              </w:rPr>
            </w:pPr>
          </w:p>
        </w:tc>
      </w:tr>
      <w:tr w:rsidR="00221BCB" w14:paraId="60F14C7E" w14:textId="77777777" w:rsidTr="00570F57">
        <w:tc>
          <w:tcPr>
            <w:tcW w:w="4860" w:type="dxa"/>
            <w:tcBorders>
              <w:top w:val="nil"/>
            </w:tcBorders>
          </w:tcPr>
          <w:p w14:paraId="067CB79C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3"/>
                  <w:enabled/>
                  <w:calcOnExit w:val="0"/>
                  <w:helpText w:type="text" w:val="Typed Name of Preparer"/>
                  <w:statusText w:type="text" w:val="Typed Name of Preparer"/>
                  <w:textInput/>
                </w:ffData>
              </w:fldChar>
            </w:r>
            <w:bookmarkStart w:id="1" w:name="Text14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</w:tcBorders>
          </w:tcPr>
          <w:p w14:paraId="799C9417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06EA2DF2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22836D27" w14:textId="77777777" w:rsidTr="00570F57">
        <w:tc>
          <w:tcPr>
            <w:tcW w:w="4860" w:type="dxa"/>
          </w:tcPr>
          <w:p w14:paraId="241064BA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Typed Name of Preparer</w:t>
            </w:r>
          </w:p>
        </w:tc>
        <w:tc>
          <w:tcPr>
            <w:tcW w:w="450" w:type="dxa"/>
          </w:tcPr>
          <w:p w14:paraId="23F4FD14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</w:tcPr>
          <w:p w14:paraId="089DA303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26FF3A73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87219FB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  <w:sectPr w:rsidR="00221BCB" w:rsidSect="008B6561">
          <w:footerReference w:type="default" r:id="rId8"/>
          <w:pgSz w:w="12240" w:h="15840" w:code="1"/>
          <w:pgMar w:top="990" w:right="1152" w:bottom="1152" w:left="1152" w:header="720" w:footer="28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PlainTable2"/>
        <w:tblW w:w="10710" w:type="dxa"/>
        <w:tblInd w:w="-360" w:type="dxa"/>
        <w:tblLayout w:type="fixed"/>
        <w:tblLook w:val="0020" w:firstRow="1" w:lastRow="0" w:firstColumn="0" w:lastColumn="0" w:noHBand="0" w:noVBand="0"/>
      </w:tblPr>
      <w:tblGrid>
        <w:gridCol w:w="5670"/>
        <w:gridCol w:w="810"/>
        <w:gridCol w:w="4230"/>
      </w:tblGrid>
      <w:tr w:rsidR="00FA6E12" w14:paraId="6FDE1B88" w14:textId="77777777" w:rsidTr="00FA6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06546CC9" w14:textId="41636C11" w:rsidR="00FA6E12" w:rsidRPr="00473002" w:rsidRDefault="00FA6E12" w:rsidP="00FA6E12">
            <w:pPr>
              <w:rPr>
                <w:b w:val="0"/>
                <w:bCs w:val="0"/>
                <w:color w:val="FFFFFF" w:themeColor="background1"/>
                <w:sz w:val="20"/>
              </w:rPr>
            </w:pPr>
            <w:r w:rsidRPr="00473002">
              <w:rPr>
                <w:i/>
                <w:sz w:val="20"/>
              </w:rPr>
              <w:lastRenderedPageBreak/>
              <w:t xml:space="preserve">The </w:t>
            </w:r>
            <w:r w:rsidR="00473002" w:rsidRPr="00473002">
              <w:rPr>
                <w:i/>
                <w:sz w:val="20"/>
              </w:rPr>
              <w:t>Apprenticeship Committee has the following procedures and processes in place</w:t>
            </w:r>
            <w:r w:rsidRPr="00473002">
              <w:rPr>
                <w:i/>
                <w:sz w:val="20"/>
              </w:rPr>
              <w:t>:</w:t>
            </w:r>
            <w:r w:rsidRPr="00570F57">
              <w:rPr>
                <w:color w:val="000000" w:themeColor="text1"/>
                <w:sz w:val="20"/>
              </w:rPr>
              <w:t xml:space="preserve"> </w:t>
            </w:r>
            <w:r w:rsidRPr="00570F57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FA6E12" w14:paraId="45259F96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3878EAF9" w14:textId="5B321545" w:rsidR="00FA6E12" w:rsidRPr="00FA6E12" w:rsidRDefault="00FA6E12" w:rsidP="00FA6E12">
            <w:pPr>
              <w:rPr>
                <w:sz w:val="6"/>
                <w:szCs w:val="6"/>
              </w:rPr>
            </w:pPr>
          </w:p>
          <w:p w14:paraId="25623F5D" w14:textId="3524FC63" w:rsidR="00FA6E12" w:rsidRPr="00570F57" w:rsidRDefault="00FA6E12" w:rsidP="00FA6E12">
            <w:pPr>
              <w:rPr>
                <w:sz w:val="6"/>
                <w:szCs w:val="6"/>
              </w:rPr>
            </w:pPr>
          </w:p>
        </w:tc>
      </w:tr>
      <w:tr w:rsidR="00570F57" w14:paraId="1F383B1F" w14:textId="77777777" w:rsidTr="00D901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28C81772" w14:textId="580339BF" w:rsidR="00570F57" w:rsidRPr="00570F57" w:rsidRDefault="00570F57">
            <w:pPr>
              <w:spacing w:before="20" w:after="20"/>
              <w:rPr>
                <w:b/>
                <w:bCs/>
                <w:sz w:val="20"/>
              </w:rPr>
            </w:pPr>
            <w:r w:rsidRPr="00570F57">
              <w:rPr>
                <w:b/>
                <w:bCs/>
                <w:sz w:val="20"/>
              </w:rPr>
              <w:t>FISCAL INTEGRITY</w:t>
            </w:r>
          </w:p>
        </w:tc>
      </w:tr>
      <w:tr w:rsidR="00192525" w14:paraId="0566DC04" w14:textId="77777777" w:rsidTr="00192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37DA414" w14:textId="774234B0" w:rsidR="00192525" w:rsidRPr="00192525" w:rsidRDefault="00192525" w:rsidP="00192525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spacing w:before="20" w:after="20"/>
              <w:rPr>
                <w:sz w:val="20"/>
              </w:rPr>
            </w:pPr>
            <w:bookmarkStart w:id="2" w:name="_Hlk135230524"/>
            <w:r w:rsidRPr="00192525">
              <w:rPr>
                <w:sz w:val="20"/>
              </w:rPr>
              <w:t>Method of accounting for program income is in accordance with federal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60C7965" w14:textId="2C566D36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799E159" w14:textId="0AA86C0A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bookmarkEnd w:id="2"/>
      <w:tr w:rsidR="00192525" w14:paraId="0C55E6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FA313C9" w14:textId="7841FDAE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Method of budget development </w:t>
            </w:r>
            <w:r w:rsidRPr="00413E7A">
              <w:rPr>
                <w:b/>
                <w:sz w:val="20"/>
              </w:rPr>
              <w:t>appropriately</w:t>
            </w:r>
            <w:r>
              <w:rPr>
                <w:sz w:val="20"/>
              </w:rPr>
              <w:t xml:space="preserve"> allocates resources and expenditures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E3AB299" w14:textId="16AE06C2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CE29AB5" w14:textId="2D45EE69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067FC1E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6134045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Encumbrances or purchase requisitions and approvals are utilized and monitored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B95877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27A7F0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FAE1D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03FFD5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Cash and/or cash equivalents are properly recorded, credited and/or deposited or disbursed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1E5CDE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8195A6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ADE00F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5BA200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Bank accounts are reconciled to accounting records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06BB59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221DC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17DA91F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1D6CB4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Staff are adequately bonded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840752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BDBFCC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B6F12D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CCDFF1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Collateral agreements are in place and sufficient to protect balances in excess of FDIC coverage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5BF5CA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9519FE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70482CF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F3394D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Adequate separation of duties as they relate to cash, fixed assets, property and other resources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8E2770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2FDA08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6B558F6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31B0D4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Fixed assets are safeguarded and properly recorded in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D91A9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6DEA6E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E46444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622B0EE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Method of cost allocation, including indirect cost rate where appropriate, is allowable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BEA72F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C48C1F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4C270F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8B70574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Payroll expenditures are properly authorized, accurately recorded in a timely manner and properly classified in the correct accounting period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05917E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4F777F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FD64A70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275609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Travel expenditures are reasonable and necessary for grant purposes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C067F8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0574A9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E469B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AF2AFF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All purchases of goods and services are reasonable, necessary, and properly authorized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B5635C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55A0E5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3D61CE8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7B9142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Sufficient documentation is retained to support authorization of all purchases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246371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ABC45F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18A67CA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81FBEE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Only authorized, accurate transactions are entered in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4EAAC5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9E2169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F3C007C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5BC99A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Duty of authorizing source documents is separate from duty of entering records into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5FA3B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3195E1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BC4E1A5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BEB646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>Insurance coverage is properly procured, current and sufficient to protect program assets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0775E3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E674B6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74E0104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B116EE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>Records are retained in accordance with the applicable rules and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6D8665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6DAE9F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4E710E7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689EC50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z w:val="20"/>
              </w:rPr>
              <w:tab/>
              <w:t>Stand-in costs are tracked in a timely and accurate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43BAE8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0A429D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BEC09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F802CEF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z w:val="20"/>
              </w:rPr>
              <w:tab/>
              <w:t>Audits are conducted in accordance with applicable federal circulars and state policies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3489D72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3CD095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747BC41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940C421" w14:textId="58CDB671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4B10AD7" w14:textId="4749FFB1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6F9C6AE" w14:textId="66DCFFB0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70C5A6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60DE88B" w14:textId="77777777" w:rsidR="00192525" w:rsidRDefault="00192525" w:rsidP="00192525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PROCUREMENT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E9F220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9E8E7AC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13B1682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FF4B54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All program procurement is in accordance with applicable program guidelines, federal regulations and state policy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9DB1D71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60537D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6141A5" w14:textId="77777777" w:rsidTr="001925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7F7F7F" w:themeColor="text1" w:themeTint="80"/>
            </w:tcBorders>
          </w:tcPr>
          <w:p w14:paraId="72DB3AF0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Subrecipients/subcontractors certify all applicable key control systems as outlined in this document, prior to contract award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bottom w:val="single" w:sz="4" w:space="0" w:color="7F7F7F" w:themeColor="text1" w:themeTint="80"/>
            </w:tcBorders>
          </w:tcPr>
          <w:p w14:paraId="5F70EE7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7F7F7F" w:themeColor="text1" w:themeTint="80"/>
            </w:tcBorders>
          </w:tcPr>
          <w:p w14:paraId="0A7A216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D4F133B" w14:textId="77777777" w:rsidTr="00192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left w:val="nil"/>
              <w:bottom w:val="nil"/>
              <w:right w:val="nil"/>
            </w:tcBorders>
          </w:tcPr>
          <w:p w14:paraId="47FC55C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left w:val="nil"/>
              <w:bottom w:val="nil"/>
              <w:right w:val="nil"/>
            </w:tcBorders>
          </w:tcPr>
          <w:p w14:paraId="3672ABE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left w:val="nil"/>
              <w:bottom w:val="nil"/>
              <w:right w:val="nil"/>
            </w:tcBorders>
          </w:tcPr>
          <w:p w14:paraId="683967C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E357E38" w14:textId="77777777" w:rsidTr="001925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nil"/>
            </w:tcBorders>
          </w:tcPr>
          <w:p w14:paraId="03232F2A" w14:textId="5A0D6652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PROCUREMENT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(continued)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top w:val="nil"/>
            </w:tcBorders>
          </w:tcPr>
          <w:p w14:paraId="77D514A7" w14:textId="60000005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top w:val="nil"/>
            </w:tcBorders>
          </w:tcPr>
          <w:p w14:paraId="448645ED" w14:textId="4E9FB56D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FC23C98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1AFBB47" w14:textId="2D84F384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Criteria have been established to offer fair and equitable competition among a sufficient number of firms and/or bidders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DB05D32" w14:textId="607ECDF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1F42F2B" w14:textId="7BB073B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44EE3B2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538247B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Basic evaluation criteria have been developed to promote an equitable and efficient selection process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5DC392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C898F6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4E0A86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181DA83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Written results of evaluation and selection process are available to requesting bidders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DA8ABE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AD8A93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2BC54E7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9AA4AB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All awards are the result of an “arm’s length” relationship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500542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8A811B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2315B2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E11D6F8" w14:textId="3C09020D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D70B2A6" w14:textId="2E77912C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78270E2" w14:textId="7CE313B2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AF2AF3E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A81D05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MONITORING &amp; OVERSIGHT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1225ADF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E04D881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78ED0BEB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B39CA65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Ability to independently identify system deficiencies and take prompt and appropriate corrective action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3165B9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BC53E2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095E765" w14:textId="77777777" w:rsidTr="00FA6E12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8EF1C5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Evaluation of contractors in the following areas: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81F646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75C076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D9A9B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1DADED7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Compliance with all federal and state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4A3AD1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633C35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73DC87C" w14:textId="77777777" w:rsidTr="00FA6E12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B5175ED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Compliance with all contractual and grant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25DCC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A93129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CFF0934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8410068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Proper spending, reporting and accurate accounting of federal and state funds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0B97AF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6AE04E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3787618" w14:textId="77777777" w:rsidTr="00FA6E12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F10F053" w14:textId="77777777" w:rsidR="00192525" w:rsidRDefault="00192525" w:rsidP="00192525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Fulfillment of program objectives/goals in the most efficient and effective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7E0713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864861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C577FFA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F5765D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Effective monitoring of subcontractor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6EAAAE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3AAD91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1D9C04C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3D5893E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Design and implementation of a risk assessment to guide monitoring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1FEC6D2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361E421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0465B21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9B304F1" w14:textId="7BE05FDB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3D16984" w14:textId="698DB186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3C9D03B" w14:textId="40A087FC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A9CE851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6229F7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94D2F1E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115564F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E86BFB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089608A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Ensure salary and benefits packages are reasonable and necessary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149644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799B37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1DCCF00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276718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Guidelines are available regarding employee conduct and conflicts of interest, either real or apparent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4EE26E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57441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E5687F3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EFDEAE6" w14:textId="7A441F68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E29405C" w14:textId="11761659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F96FC36" w14:textId="69CA5043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5CCE61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8AA312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REPORTING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42C374D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F525D2A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52D4BBA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0A3749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Financial and performance reporting systems are designed to facilitate timely reporting of accurate information in compliance with all applicable Federal and State reporting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9BCB13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36E6E46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3BAE8DC8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62EC72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Stand-in costs are reported and audited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B9B482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F2C25A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FDE385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281F804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Information presented in required reports complies with all applicable Federal and State reporting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F147A6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A9CB0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90219B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B250E7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All required match is timely accumulated and reported in accordance with applicable Federal and State rules and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7A7E9F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FC80F5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8107394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0A11424" w14:textId="1221AA63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E8E6553" w14:textId="1E17CD0A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7D1D621" w14:textId="2275D923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12F4442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A2EA21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DATA INTEGRITY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A0D6ECC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0608084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196E05E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D5A7F0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Access to automated information systems is restricted to authorized users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3C719D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83703B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7C7A4C3" w14:textId="77777777" w:rsidTr="00FA6E12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42A6244" w14:textId="5E84437B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908CF07" w14:textId="7AE5D75F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1FB10FE" w14:textId="309262D2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</w:tbl>
    <w:p w14:paraId="61088111" w14:textId="77777777" w:rsidR="00221BCB" w:rsidRDefault="00221BCB" w:rsidP="00413E7A">
      <w:pPr>
        <w:rPr>
          <w:sz w:val="20"/>
        </w:rPr>
      </w:pPr>
    </w:p>
    <w:sectPr w:rsidR="00221BCB">
      <w:headerReference w:type="default" r:id="rId9"/>
      <w:pgSz w:w="12240" w:h="15840" w:code="1"/>
      <w:pgMar w:top="1152" w:right="1152" w:bottom="1152" w:left="1152" w:header="72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33FB" w14:textId="77777777" w:rsidR="00D2246C" w:rsidRDefault="00D2246C">
      <w:r>
        <w:separator/>
      </w:r>
    </w:p>
  </w:endnote>
  <w:endnote w:type="continuationSeparator" w:id="0">
    <w:p w14:paraId="395A51B6" w14:textId="77777777" w:rsidR="00D2246C" w:rsidRDefault="00D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4069" w14:textId="5D025D53" w:rsidR="00221BCB" w:rsidRDefault="001517C8">
    <w:pPr>
      <w:pStyle w:val="Footer"/>
      <w:jc w:val="center"/>
      <w:rPr>
        <w:b/>
        <w:i/>
        <w:sz w:val="18"/>
      </w:rPr>
    </w:pPr>
    <w:r>
      <w:rPr>
        <w:b/>
        <w:i/>
        <w:sz w:val="18"/>
      </w:rPr>
      <w:t>Apprenticeship Committee</w:t>
    </w:r>
    <w:r w:rsidR="00221BCB">
      <w:rPr>
        <w:b/>
        <w:i/>
        <w:sz w:val="18"/>
      </w:rPr>
      <w:t xml:space="preserve">– Financial Management System Questionnaire – Page </w:t>
    </w:r>
    <w:r w:rsidR="00221BCB">
      <w:rPr>
        <w:rStyle w:val="PageNumber"/>
        <w:b/>
        <w:i/>
        <w:sz w:val="18"/>
      </w:rPr>
      <w:fldChar w:fldCharType="begin"/>
    </w:r>
    <w:r w:rsidR="00221BCB">
      <w:rPr>
        <w:rStyle w:val="PageNumber"/>
        <w:b/>
        <w:i/>
        <w:sz w:val="18"/>
      </w:rPr>
      <w:instrText xml:space="preserve"> PAGE </w:instrText>
    </w:r>
    <w:r w:rsidR="00221BCB">
      <w:rPr>
        <w:rStyle w:val="PageNumber"/>
        <w:b/>
        <w:i/>
        <w:sz w:val="18"/>
      </w:rPr>
      <w:fldChar w:fldCharType="separate"/>
    </w:r>
    <w:r w:rsidR="00175CBF">
      <w:rPr>
        <w:rStyle w:val="PageNumber"/>
        <w:b/>
        <w:i/>
        <w:noProof/>
        <w:sz w:val="18"/>
      </w:rPr>
      <w:t>1</w:t>
    </w:r>
    <w:r w:rsidR="00221BCB">
      <w:rPr>
        <w:rStyle w:val="PageNumber"/>
        <w:b/>
        <w:i/>
        <w:sz w:val="18"/>
      </w:rPr>
      <w:fldChar w:fldCharType="end"/>
    </w:r>
    <w:r w:rsidR="00221BCB">
      <w:rPr>
        <w:rStyle w:val="PageNumber"/>
        <w:b/>
        <w:i/>
        <w:sz w:val="18"/>
      </w:rPr>
      <w:t xml:space="preserve"> of 3</w:t>
    </w:r>
    <w:r>
      <w:rPr>
        <w:rStyle w:val="PageNumber"/>
        <w:b/>
        <w:i/>
        <w:sz w:val="18"/>
      </w:rPr>
      <w:t xml:space="preserve"> (May 20</w:t>
    </w:r>
    <w:r w:rsidR="00AC07A9">
      <w:rPr>
        <w:rStyle w:val="PageNumber"/>
        <w:b/>
        <w:i/>
        <w:sz w:val="18"/>
      </w:rPr>
      <w:t>2</w:t>
    </w:r>
    <w:r w:rsidR="00B2741F">
      <w:rPr>
        <w:rStyle w:val="PageNumber"/>
        <w:b/>
        <w:i/>
        <w:sz w:val="18"/>
      </w:rPr>
      <w:t>4</w:t>
    </w:r>
    <w:r w:rsidR="00590922">
      <w:rPr>
        <w:rStyle w:val="PageNumber"/>
        <w:b/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23A5" w14:textId="77777777" w:rsidR="00D2246C" w:rsidRDefault="00D2246C">
      <w:r>
        <w:separator/>
      </w:r>
    </w:p>
  </w:footnote>
  <w:footnote w:type="continuationSeparator" w:id="0">
    <w:p w14:paraId="7F67FF35" w14:textId="77777777" w:rsidR="00D2246C" w:rsidRDefault="00D2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BB14" w14:textId="77777777" w:rsidR="00221BCB" w:rsidRDefault="00221BCB">
    <w:pPr>
      <w:pStyle w:val="Header"/>
      <w:tabs>
        <w:tab w:val="clear" w:pos="8640"/>
        <w:tab w:val="right" w:pos="9000"/>
      </w:tabs>
      <w:jc w:val="center"/>
      <w:rPr>
        <w:b/>
        <w:sz w:val="28"/>
      </w:rPr>
    </w:pPr>
    <w:r>
      <w:rPr>
        <w:b/>
        <w:sz w:val="28"/>
      </w:rPr>
      <w:t>FINANCIAL MANAGEMENT SYSTEM QUESTIONNAIRE</w:t>
    </w:r>
  </w:p>
  <w:p w14:paraId="36E6B8E5" w14:textId="77777777" w:rsidR="00221BCB" w:rsidRDefault="00221BCB">
    <w:pPr>
      <w:pStyle w:val="Header"/>
      <w:jc w:val="center"/>
      <w:rPr>
        <w:b/>
        <w:sz w:val="28"/>
      </w:rPr>
    </w:pPr>
  </w:p>
  <w:tbl>
    <w:tblPr>
      <w:tblStyle w:val="PlainTable2"/>
      <w:tblW w:w="10710" w:type="dxa"/>
      <w:tblInd w:w="-365" w:type="dxa"/>
      <w:tblLayout w:type="fixed"/>
      <w:tblLook w:val="0020" w:firstRow="1" w:lastRow="0" w:firstColumn="0" w:lastColumn="0" w:noHBand="0" w:noVBand="0"/>
    </w:tblPr>
    <w:tblGrid>
      <w:gridCol w:w="5670"/>
      <w:gridCol w:w="810"/>
      <w:gridCol w:w="4230"/>
    </w:tblGrid>
    <w:tr w:rsidR="00221BCB" w14:paraId="6B852386" w14:textId="77777777" w:rsidTr="00FA6E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5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670" w:type="dxa"/>
        </w:tcPr>
        <w:p w14:paraId="4C4FFFBC" w14:textId="703CEFD8" w:rsidR="00221BCB" w:rsidRDefault="00221BCB">
          <w:pPr>
            <w:rPr>
              <w:b w:val="0"/>
              <w:sz w:val="20"/>
            </w:rPr>
          </w:pPr>
          <w:r>
            <w:rPr>
              <w:sz w:val="20"/>
            </w:rPr>
            <w:t xml:space="preserve">If the following systems are in place, answer “yes” in the middle column, and reference local policies and procedures in </w:t>
          </w:r>
          <w:r w:rsidR="00570F57">
            <w:rPr>
              <w:sz w:val="20"/>
            </w:rPr>
            <w:t>far-right</w:t>
          </w:r>
          <w:r>
            <w:rPr>
              <w:sz w:val="20"/>
            </w:rPr>
            <w:t xml:space="preserve"> column.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810" w:type="dxa"/>
        </w:tcPr>
        <w:p w14:paraId="3412A145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YES NO N/A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230" w:type="dxa"/>
        </w:tcPr>
        <w:p w14:paraId="49C1A2F7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Reference</w:t>
          </w:r>
        </w:p>
        <w:p w14:paraId="2495C1D6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Policies &amp; Procedures</w:t>
          </w:r>
        </w:p>
        <w:p w14:paraId="2039FBFF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Section &amp; Page</w:t>
          </w:r>
        </w:p>
      </w:tc>
    </w:tr>
  </w:tbl>
  <w:p w14:paraId="6DB0CD3A" w14:textId="77777777" w:rsidR="00221BCB" w:rsidRDefault="00221BC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D82"/>
    <w:multiLevelType w:val="hybridMultilevel"/>
    <w:tmpl w:val="42FC4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903"/>
    <w:multiLevelType w:val="singleLevel"/>
    <w:tmpl w:val="ED34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A26013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" w15:restartNumberingAfterBreak="0">
    <w:nsid w:val="3CFF31D1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" w15:restartNumberingAfterBreak="0">
    <w:nsid w:val="42200589"/>
    <w:multiLevelType w:val="singleLevel"/>
    <w:tmpl w:val="FC54D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6963BA1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307C9F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DD6D5F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DB070E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B93CC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0" w15:restartNumberingAfterBreak="0">
    <w:nsid w:val="5E856ED8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617D3C9B"/>
    <w:multiLevelType w:val="hybridMultilevel"/>
    <w:tmpl w:val="099CF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77064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3" w15:restartNumberingAfterBreak="0">
    <w:nsid w:val="79C01D94"/>
    <w:multiLevelType w:val="singleLevel"/>
    <w:tmpl w:val="7228FA7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7BA373C0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107450">
    <w:abstractNumId w:val="2"/>
  </w:num>
  <w:num w:numId="2" w16cid:durableId="1599486971">
    <w:abstractNumId w:val="5"/>
  </w:num>
  <w:num w:numId="3" w16cid:durableId="1715695716">
    <w:abstractNumId w:val="4"/>
  </w:num>
  <w:num w:numId="4" w16cid:durableId="1661076525">
    <w:abstractNumId w:val="7"/>
  </w:num>
  <w:num w:numId="5" w16cid:durableId="2021469990">
    <w:abstractNumId w:val="8"/>
  </w:num>
  <w:num w:numId="6" w16cid:durableId="1257833950">
    <w:abstractNumId w:val="3"/>
  </w:num>
  <w:num w:numId="7" w16cid:durableId="1093940129">
    <w:abstractNumId w:val="6"/>
  </w:num>
  <w:num w:numId="8" w16cid:durableId="978806728">
    <w:abstractNumId w:val="1"/>
  </w:num>
  <w:num w:numId="9" w16cid:durableId="669673119">
    <w:abstractNumId w:val="9"/>
  </w:num>
  <w:num w:numId="10" w16cid:durableId="1279021973">
    <w:abstractNumId w:val="12"/>
  </w:num>
  <w:num w:numId="11" w16cid:durableId="1928464620">
    <w:abstractNumId w:val="14"/>
  </w:num>
  <w:num w:numId="12" w16cid:durableId="1643654837">
    <w:abstractNumId w:val="10"/>
  </w:num>
  <w:num w:numId="13" w16cid:durableId="478302949">
    <w:abstractNumId w:val="13"/>
  </w:num>
  <w:num w:numId="14" w16cid:durableId="36127692">
    <w:abstractNumId w:val="0"/>
  </w:num>
  <w:num w:numId="15" w16cid:durableId="2051955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68"/>
    <w:rsid w:val="00077771"/>
    <w:rsid w:val="00081794"/>
    <w:rsid w:val="0009033E"/>
    <w:rsid w:val="0009269E"/>
    <w:rsid w:val="00097B32"/>
    <w:rsid w:val="000D6A39"/>
    <w:rsid w:val="000D78B2"/>
    <w:rsid w:val="001517C8"/>
    <w:rsid w:val="00175CBF"/>
    <w:rsid w:val="00192525"/>
    <w:rsid w:val="001D6068"/>
    <w:rsid w:val="001F3301"/>
    <w:rsid w:val="00213F88"/>
    <w:rsid w:val="00221BCB"/>
    <w:rsid w:val="002446F6"/>
    <w:rsid w:val="003864FC"/>
    <w:rsid w:val="00413E7A"/>
    <w:rsid w:val="00427CEB"/>
    <w:rsid w:val="00473002"/>
    <w:rsid w:val="00475394"/>
    <w:rsid w:val="004D702C"/>
    <w:rsid w:val="00570F57"/>
    <w:rsid w:val="00590922"/>
    <w:rsid w:val="005E2753"/>
    <w:rsid w:val="00892E08"/>
    <w:rsid w:val="008B6561"/>
    <w:rsid w:val="008C7DE4"/>
    <w:rsid w:val="009670FC"/>
    <w:rsid w:val="009B2094"/>
    <w:rsid w:val="009C0C3F"/>
    <w:rsid w:val="00A027AD"/>
    <w:rsid w:val="00AC07A9"/>
    <w:rsid w:val="00B2741F"/>
    <w:rsid w:val="00CD26A9"/>
    <w:rsid w:val="00D2246C"/>
    <w:rsid w:val="00DA30AC"/>
    <w:rsid w:val="00DD4961"/>
    <w:rsid w:val="00E359A9"/>
    <w:rsid w:val="00E37FB7"/>
    <w:rsid w:val="00EA53C3"/>
    <w:rsid w:val="00FA6E12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5D48EF1"/>
  <w15:docId w15:val="{648C2B41-7AA4-4875-90FA-DF5D057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342"/>
      </w:tabs>
      <w:spacing w:before="20" w:after="20"/>
      <w:ind w:left="342" w:hanging="342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  <w:style w:type="paragraph" w:styleId="NormalWeb">
    <w:name w:val="Normal (Web)"/>
    <w:basedOn w:val="Normal"/>
    <w:uiPriority w:val="99"/>
    <w:semiHidden/>
    <w:unhideWhenUsed/>
    <w:rsid w:val="000D78B2"/>
    <w:pPr>
      <w:spacing w:before="100" w:beforeAutospacing="1" w:after="100" w:afterAutospacing="1"/>
    </w:pPr>
    <w:rPr>
      <w:szCs w:val="24"/>
    </w:rPr>
  </w:style>
  <w:style w:type="table" w:styleId="PlainTable2">
    <w:name w:val="Plain Table 2"/>
    <w:basedOn w:val="TableNormal"/>
    <w:uiPriority w:val="42"/>
    <w:rsid w:val="00FA6E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70F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9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Self-Sufficiency Fund Program: Financial Management System Questionnaire</vt:lpstr>
    </vt:vector>
  </TitlesOfParts>
  <Company>TWC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Self-Sufficiency Fund Program: Financial Management System Questionnaire</dc:title>
  <dc:creator>TWC</dc:creator>
  <cp:lastModifiedBy>Cole,Tara</cp:lastModifiedBy>
  <cp:revision>3</cp:revision>
  <cp:lastPrinted>2005-12-27T20:01:00Z</cp:lastPrinted>
  <dcterms:created xsi:type="dcterms:W3CDTF">2024-05-01T21:21:00Z</dcterms:created>
  <dcterms:modified xsi:type="dcterms:W3CDTF">2024-05-13T15:29:00Z</dcterms:modified>
</cp:coreProperties>
</file>